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B" w:rsidRDefault="00B7755B">
      <w:pPr>
        <w:rPr>
          <w:b/>
        </w:rPr>
      </w:pPr>
    </w:p>
    <w:p w:rsidR="00B7755B" w:rsidRDefault="00B7755B">
      <w:pPr>
        <w:rPr>
          <w:b/>
        </w:rPr>
      </w:pPr>
    </w:p>
    <w:p w:rsidR="00FC1AB2" w:rsidRDefault="00FC1AB2" w:rsidP="00055B8F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Утверждены требования к частным охранным организациям, привлекаемым для защиты объектов ТЭК</w:t>
      </w:r>
    </w:p>
    <w:p w:rsidR="00FC1AB2" w:rsidRDefault="00FC1AB2" w:rsidP="00055B8F">
      <w:pPr>
        <w:spacing w:line="36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C1AB2" w:rsidRDefault="00FC1AB2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Постановлением Правительства РФ от 08.12.2022 №2258 утверждены специальные требования к организациям, которые вправе защищать объекты ТЭК с низкой и средней категорией опасности, а также объекты, которым не присвоена категория опасности или которые не подлежат категорированию.</w:t>
      </w:r>
    </w:p>
    <w:p w:rsidR="00055B8F" w:rsidRDefault="00055B8F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Для обеспечения физической защиты объекта топливно-энергетического комплекса могут привлекаться в т. ч. частные охранные организации в зависимости от категории объекта и в соответствии с паспортом безопасности объекта ТЭК.</w:t>
      </w:r>
    </w:p>
    <w:p w:rsidR="00055B8F" w:rsidRDefault="00055B8F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числе таких требований наличие не менее 3-х лет опыта работы на объектах ТЭК с низкой или средней категорией опасности; размер уставного не менее 750 тыс. руб.; наличие охранников 5 и 6 разрядов в количестве, указанном в паспорте безопасности объекта ТЭК.</w:t>
      </w:r>
    </w:p>
    <w:p w:rsidR="00055B8F" w:rsidRDefault="00055B8F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055B8F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 вступает в силу с 26 декабря 2022 года.</w:t>
      </w:r>
    </w:p>
    <w:p w:rsidR="00FC1AB2" w:rsidRDefault="00FC1AB2" w:rsidP="00055B8F">
      <w:pPr>
        <w:spacing w:line="360" w:lineRule="auto"/>
        <w:rPr>
          <w:b/>
        </w:rPr>
      </w:pPr>
    </w:p>
    <w:sectPr w:rsidR="00FC1AB2" w:rsidSect="00055B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55B8F"/>
    <w:rsid w:val="001406B5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732FB"/>
    <w:rsid w:val="00F52E26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2023-01-01T11:15:00Z</dcterms:modified>
</cp:coreProperties>
</file>